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F73" w:rsidRDefault="00AE6F73" w:rsidP="00AE6F73">
      <w:pPr>
        <w:pStyle w:val="NormalWeb"/>
        <w:rPr>
          <w:rFonts w:ascii="Arial" w:hAnsi="Arial" w:cs="Arial"/>
          <w:sz w:val="18"/>
          <w:szCs w:val="18"/>
          <w:lang w:val="en"/>
        </w:rPr>
      </w:pPr>
      <w:r>
        <w:rPr>
          <w:rStyle w:val="Strong"/>
          <w:rFonts w:ascii="Arial" w:hAnsi="Arial" w:cs="Arial"/>
          <w:sz w:val="18"/>
          <w:szCs w:val="18"/>
          <w:lang w:val="en"/>
        </w:rPr>
        <w:t>Instruction</w:t>
      </w:r>
    </w:p>
    <w:p w:rsidR="00AE6F73" w:rsidRDefault="00AE6F73" w:rsidP="00AE6F73">
      <w:pPr>
        <w:pStyle w:val="NormalWeb"/>
        <w:rPr>
          <w:rFonts w:ascii="Arial" w:hAnsi="Arial" w:cs="Arial"/>
          <w:sz w:val="18"/>
          <w:szCs w:val="18"/>
          <w:lang w:val="en"/>
        </w:rPr>
      </w:pPr>
      <w:r>
        <w:rPr>
          <w:rFonts w:ascii="Arial" w:hAnsi="Arial" w:cs="Arial"/>
          <w:sz w:val="18"/>
          <w:szCs w:val="18"/>
          <w:lang w:val="en"/>
        </w:rPr>
        <w:t xml:space="preserve">For academic year 2014-15, the Career and Technical Education (CTE) and the Liberal Arts programs submitted a total of 22 instructional and three developmental program reviews. Each CTE review included a special emphasis on an overall assessment of their outcomes at both the course and program levels. As a result of this program review process, during the 2014-15 academic </w:t>
      </w:r>
      <w:proofErr w:type="gramStart"/>
      <w:r>
        <w:rPr>
          <w:rFonts w:ascii="Arial" w:hAnsi="Arial" w:cs="Arial"/>
          <w:sz w:val="18"/>
          <w:szCs w:val="18"/>
          <w:lang w:val="en"/>
        </w:rPr>
        <w:t>year</w:t>
      </w:r>
      <w:proofErr w:type="gramEnd"/>
      <w:r>
        <w:rPr>
          <w:rFonts w:ascii="Arial" w:hAnsi="Arial" w:cs="Arial"/>
          <w:sz w:val="18"/>
          <w:szCs w:val="18"/>
          <w:lang w:val="en"/>
        </w:rPr>
        <w:t xml:space="preserve">, programs continue to make progress mapping their courses to the Program Learning Outcomes (PLOs) of their program, and each program continues to seek validation and support of their PLOs from their respective advisory committees. Additionally, programs have begun mapping college-wide student learning outcomes (CASLOs) into their course and program analysis, and will continue to align each to Institutional Learning Outcomes that are being developed through a campus-wide process led by a Strategic Planning Committee. For academic year 2014-15, special emphasis was placed on Quantitative Reasoning. Health call indicators continued to be monitored during the 2014-15 period.  Three programs were classed as healthy (eight less last year), 19 were ranked as cautionary (eight more than last year), and one program received an overall unhealthy rating (up one from the previous year). The main reason for the decline appears to relate to a change in the scoring scale for the Demand indicator. The college met four of the six Perkins indicators for the 2013-14 Perkins reporting period, falling short in 1P1 (Technical Skills Attainment), and 4P1 (Student Placement). Department Chairs, Program Coordinators, Counselors, and Career Link have been made aware of these deficiencies and have been challenged to improve these during the 2015-2016 academic </w:t>
      </w:r>
      <w:proofErr w:type="gramStart"/>
      <w:r>
        <w:rPr>
          <w:rFonts w:ascii="Arial" w:hAnsi="Arial" w:cs="Arial"/>
          <w:sz w:val="18"/>
          <w:szCs w:val="18"/>
          <w:lang w:val="en"/>
        </w:rPr>
        <w:t>year</w:t>
      </w:r>
      <w:proofErr w:type="gramEnd"/>
      <w:r>
        <w:rPr>
          <w:rFonts w:ascii="Arial" w:hAnsi="Arial" w:cs="Arial"/>
          <w:sz w:val="18"/>
          <w:szCs w:val="18"/>
          <w:lang w:val="en"/>
        </w:rPr>
        <w:t>, and to address them in their next program reviews.</w:t>
      </w:r>
    </w:p>
    <w:p w:rsidR="00AE6F73" w:rsidRDefault="00AE6F73" w:rsidP="00AE6F73">
      <w:pPr>
        <w:pStyle w:val="NormalWeb"/>
        <w:rPr>
          <w:rFonts w:ascii="Arial" w:hAnsi="Arial" w:cs="Arial"/>
          <w:sz w:val="18"/>
          <w:szCs w:val="18"/>
          <w:lang w:val="en"/>
        </w:rPr>
      </w:pPr>
      <w:r>
        <w:rPr>
          <w:rStyle w:val="Strong"/>
          <w:rFonts w:ascii="Arial" w:hAnsi="Arial" w:cs="Arial"/>
          <w:sz w:val="18"/>
          <w:szCs w:val="18"/>
          <w:lang w:val="en"/>
        </w:rPr>
        <w:t>Support Programs</w:t>
      </w:r>
    </w:p>
    <w:p w:rsidR="00AE6F73" w:rsidRDefault="00AE6F73" w:rsidP="00AE6F73">
      <w:pPr>
        <w:pStyle w:val="NormalWeb"/>
        <w:rPr>
          <w:rFonts w:ascii="Arial" w:hAnsi="Arial" w:cs="Arial"/>
          <w:sz w:val="18"/>
          <w:szCs w:val="18"/>
          <w:lang w:val="en"/>
        </w:rPr>
      </w:pPr>
      <w:r>
        <w:rPr>
          <w:rFonts w:ascii="Arial" w:hAnsi="Arial" w:cs="Arial"/>
          <w:sz w:val="18"/>
          <w:szCs w:val="18"/>
          <w:lang w:val="en"/>
        </w:rPr>
        <w:t>UH Maui College Academic Support programs including the four outreach centers at Hana, Lahaina, Lanai, and Molokai, the University Center, Learning Center (TLC), and Continuing Education (OCET) also submitted annual program reviews for academic year 2014-15. Program review documents confirm the essential role of Academic Support Programs providing access and support for students throughout the college.</w:t>
      </w:r>
    </w:p>
    <w:p w:rsidR="00AE6F73" w:rsidRDefault="00AE6F73" w:rsidP="00AE6F73">
      <w:pPr>
        <w:pStyle w:val="NormalWeb"/>
        <w:rPr>
          <w:rFonts w:ascii="Arial" w:hAnsi="Arial" w:cs="Arial"/>
          <w:sz w:val="18"/>
          <w:szCs w:val="18"/>
          <w:lang w:val="en"/>
        </w:rPr>
      </w:pPr>
      <w:r>
        <w:rPr>
          <w:rStyle w:val="Strong"/>
          <w:rFonts w:ascii="Arial" w:hAnsi="Arial" w:cs="Arial"/>
          <w:sz w:val="18"/>
          <w:szCs w:val="18"/>
          <w:lang w:val="en"/>
        </w:rPr>
        <w:t>Vision and Plans</w:t>
      </w:r>
    </w:p>
    <w:p w:rsidR="00AE6F73" w:rsidRDefault="00AE6F73" w:rsidP="00AE6F73">
      <w:pPr>
        <w:pStyle w:val="NormalWeb"/>
        <w:rPr>
          <w:rFonts w:ascii="Arial" w:hAnsi="Arial" w:cs="Arial"/>
          <w:sz w:val="18"/>
          <w:szCs w:val="18"/>
          <w:lang w:val="en"/>
        </w:rPr>
      </w:pPr>
      <w:r>
        <w:rPr>
          <w:rFonts w:ascii="Arial" w:hAnsi="Arial" w:cs="Arial"/>
          <w:sz w:val="18"/>
          <w:szCs w:val="18"/>
          <w:lang w:val="en"/>
        </w:rPr>
        <w:t>UH Maui College will continue to refine its assessment process that was establish by a collaborative effort of campus members with special emphasis on methods to increase student learning and adding value to the student experience so students are well prepared to enter the workforce and become productive citizens of the community. The College will continue to follow up with program coordinators to link resource requirements to evidence of student learning outcome achievement. Moreover, the College will identify policy, planning and budget considerations, as well as best practices, emerging from the program review process.</w:t>
      </w:r>
    </w:p>
    <w:p w:rsidR="00AE6F73" w:rsidRDefault="00AE6F73" w:rsidP="00AE6F73">
      <w:pPr>
        <w:pStyle w:val="NormalWeb"/>
        <w:rPr>
          <w:rFonts w:ascii="Arial" w:hAnsi="Arial" w:cs="Arial"/>
          <w:sz w:val="18"/>
          <w:szCs w:val="18"/>
          <w:lang w:val="en"/>
        </w:rPr>
      </w:pPr>
      <w:r>
        <w:rPr>
          <w:rFonts w:ascii="Arial" w:hAnsi="Arial" w:cs="Arial"/>
          <w:sz w:val="18"/>
          <w:szCs w:val="18"/>
          <w:lang w:val="en"/>
        </w:rPr>
        <w:t>The UH Maui College strategic planning and assessment process is guided by a Vision, Mission, Core Values and Institutional Learning Outcomes that are grounded in how UH Maui College “Inspires Learning” among our students, within our community and among colleagues.  This rubric driven process is being led by faculty and staff members with strong support from administration.  Each year UH Maui College degree programs collect and review evidence of a program level student learning outcome at an exit level course appropriate for each program.   Parallel to this review, an assessment team reviews one general education learning outcome, also at an exit level course at the level appropriate for each program.  The outcome of this process is a list of recommendations that are emerging into planning priorities for the next year.   In some cases these recommendations involve requests for funding, however, most recommendations relate to pedagogical improvements.   This process is repeated annually, moving on to the review of the next program and general education outcome.  Over time, each program and general education outcome is reviewed and then the process begins again in earnest. </w:t>
      </w:r>
    </w:p>
    <w:p w:rsidR="00AE6F73" w:rsidRDefault="00AE6F73" w:rsidP="00AE6F73">
      <w:pPr>
        <w:pStyle w:val="NormalWeb"/>
        <w:rPr>
          <w:rFonts w:ascii="Arial" w:hAnsi="Arial" w:cs="Arial"/>
          <w:sz w:val="18"/>
          <w:szCs w:val="18"/>
          <w:lang w:val="en"/>
        </w:rPr>
      </w:pPr>
      <w:r>
        <w:rPr>
          <w:rFonts w:ascii="Arial" w:hAnsi="Arial" w:cs="Arial"/>
          <w:sz w:val="18"/>
          <w:szCs w:val="18"/>
          <w:lang w:val="en"/>
        </w:rPr>
        <w:t>This planning and assessment process creates a form of shared governance that establishes integrity as we advocate for our students, engage all constituents, and to sustain our position as the leading institution of higher education in Maui County. Moreover, this shared governance insures that we speak with a common language as we continually improve while addressing community needs and opportunities. Many of the goals that have emerged through this process require resources beyond institutional capacity.   Alternative methods of funding have been required to address these opportunities. </w:t>
      </w:r>
    </w:p>
    <w:p w:rsidR="0066350B" w:rsidRDefault="0066350B">
      <w:bookmarkStart w:id="0" w:name="_GoBack"/>
      <w:bookmarkEnd w:id="0"/>
    </w:p>
    <w:sectPr w:rsidR="00663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73"/>
    <w:rsid w:val="0066350B"/>
    <w:rsid w:val="00AE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F73"/>
    <w:pPr>
      <w:spacing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6F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F73"/>
    <w:pPr>
      <w:spacing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6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557701">
      <w:bodyDiv w:val="1"/>
      <w:marLeft w:val="0"/>
      <w:marRight w:val="0"/>
      <w:marTop w:val="0"/>
      <w:marBottom w:val="0"/>
      <w:divBdr>
        <w:top w:val="none" w:sz="0" w:space="0" w:color="auto"/>
        <w:left w:val="none" w:sz="0" w:space="0" w:color="auto"/>
        <w:bottom w:val="none" w:sz="0" w:space="0" w:color="auto"/>
        <w:right w:val="none" w:sz="0" w:space="0" w:color="auto"/>
      </w:divBdr>
      <w:divsChild>
        <w:div w:id="1263875571">
          <w:marLeft w:val="0"/>
          <w:marRight w:val="0"/>
          <w:marTop w:val="0"/>
          <w:marBottom w:val="150"/>
          <w:divBdr>
            <w:top w:val="none" w:sz="0" w:space="0" w:color="auto"/>
            <w:left w:val="none" w:sz="0" w:space="0" w:color="auto"/>
            <w:bottom w:val="none" w:sz="0" w:space="0" w:color="auto"/>
            <w:right w:val="none" w:sz="0" w:space="0" w:color="auto"/>
          </w:divBdr>
          <w:divsChild>
            <w:div w:id="20900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Hawaii Maui College</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Grooms</dc:creator>
  <cp:lastModifiedBy>David Grooms</cp:lastModifiedBy>
  <cp:revision>1</cp:revision>
  <dcterms:created xsi:type="dcterms:W3CDTF">2017-01-04T17:50:00Z</dcterms:created>
  <dcterms:modified xsi:type="dcterms:W3CDTF">2017-01-04T17:51:00Z</dcterms:modified>
</cp:coreProperties>
</file>